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15"/>
      </w:tblGrid>
      <w:tr>
        <w:trPr>
          <w:trHeight w:val="12718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1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1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新規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ind w:right="856"/>
              <w:rPr>
                <w:rFonts w:hint="default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１．貨物の種類　（輸出・移出：　　　　　　　　　　輸入・移入：　　　　　　　　　　）</w:t>
            </w:r>
          </w:p>
          <w:p>
            <w:pPr>
              <w:pStyle w:val="0"/>
              <w:ind w:leftChars="0" w:firstLine="1807" w:firstLineChars="98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２．実績取扱量（コンテナ輸出入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移出入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、陸送利用）</w:t>
            </w:r>
          </w:p>
          <w:p>
            <w:pPr>
              <w:pStyle w:val="0"/>
              <w:wordWrap w:val="0"/>
              <w:ind w:right="214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（単位：ＴＥＵ）　</w:t>
            </w:r>
          </w:p>
          <w:tbl>
            <w:tblPr>
              <w:tblStyle w:val="24"/>
              <w:tblW w:w="8918" w:type="dxa"/>
              <w:jc w:val="left"/>
              <w:tblInd w:w="2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433"/>
              <w:gridCol w:w="2433"/>
              <w:gridCol w:w="2435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Ｒ６年度秋田港取扱量</w:t>
                  </w: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Ｒ６年度陸送取扱量</w:t>
                  </w:r>
                </w:p>
              </w:tc>
              <w:tc>
                <w:tcPr>
                  <w:tcW w:w="24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16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Ｒ７年度秋田港取扱量見込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輸出・移出</w:t>
                  </w:r>
                </w:p>
              </w:tc>
              <w:tc>
                <w:tcPr>
                  <w:tcW w:w="243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輸入・移入</w:t>
                  </w:r>
                </w:p>
              </w:tc>
              <w:tc>
                <w:tcPr>
                  <w:tcW w:w="243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合　計</w:t>
                  </w: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ind w:leftChars="0" w:firstLine="540" w:firstLineChars="29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３．実績取扱量に対する奨励金の額　（１）＋（２）</w:t>
            </w:r>
            <w:r>
              <w:rPr>
                <w:rFonts w:hint="eastAsia" w:ascii="ＭＳ 明朝" w:hAnsi="ＭＳ 明朝" w:eastAsia="ＭＳ 明朝"/>
                <w:u w:val="thick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（１）コンテナ輸送支援（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新規</w:t>
            </w:r>
            <w:r>
              <w:rPr>
                <w:rFonts w:hint="eastAsia" w:ascii="ＭＳ 明朝" w:hAnsi="ＭＳ 明朝" w:eastAsia="ＭＳ 明朝"/>
              </w:rPr>
              <w:t>）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firstLine="921" w:firstLineChars="5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79"/>
                <w:sz w:val="18"/>
                <w:fitText w:val="2210" w:id="2"/>
              </w:rPr>
              <w:t>コンテナ輸出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210" w:id="2"/>
              </w:rPr>
              <w:t>入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：（取扱量見込）×１万円　（１０ＴＥＵ以上／上限２０万円）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18"/>
                <w:fitText w:val="2210" w:id="3"/>
              </w:rPr>
              <w:t>コンテナ移出入（国内輸送</w:t>
            </w:r>
            <w:r>
              <w:rPr>
                <w:rFonts w:hint="eastAsia" w:ascii="ＭＳ 明朝" w:hAnsi="ＭＳ 明朝" w:eastAsia="ＭＳ 明朝"/>
                <w:spacing w:val="8"/>
                <w:w w:val="94"/>
                <w:sz w:val="18"/>
                <w:fitText w:val="2210" w:id="3"/>
              </w:rPr>
              <w:t>）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：（取扱量見込）×２万円　（１ＴＥＵ以上／上限２０万円）</w:t>
            </w:r>
          </w:p>
          <w:p>
            <w:pPr>
              <w:pStyle w:val="0"/>
              <w:spacing w:before="140" w:beforeLines="50" w:beforeAutospacing="0"/>
              <w:ind w:left="0" w:leftChars="0" w:firstLine="1225" w:firstLineChars="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別紙１「秋田港輸出入実績」及び実績を証明する書類を添付すること。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154940</wp:posOffset>
                      </wp:positionV>
                      <wp:extent cx="1266825" cy="3905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66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000000" w:themeColor="text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12.2pt;mso-position-vertical-relative:text;mso-position-horizontal-relative:text;v-text-anchor:middle;position:absolute;height:30.75pt;mso-wrap-distance-top:0pt;width:99.75pt;mso-wrap-distance-left:5.65pt;margin-left:354.85pt;z-index:2;" o:spid="_x0000_s1026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（２）陸送費支援（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新規</w:t>
            </w:r>
            <w:r>
              <w:rPr>
                <w:rFonts w:hint="eastAsia" w:ascii="ＭＳ 明朝" w:hAnsi="ＭＳ 明朝" w:eastAsia="ＭＳ 明朝"/>
              </w:rPr>
              <w:t>）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0" w:leftChars="0" w:firstLine="932" w:firstLineChars="506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spacing w:before="140" w:beforeLines="50" w:beforeAutospacing="0"/>
              <w:ind w:left="0" w:leftChars="0" w:firstLine="1116" w:firstLineChars="606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31115</wp:posOffset>
                      </wp:positionV>
                      <wp:extent cx="4919345" cy="628015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4919345" cy="62801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2.4500000000000002pt;mso-position-vertical-relative:text;mso-position-horizontal-relative:text;position:absolute;height:49.45pt;mso-wrap-distance-top:0pt;width:387.35pt;mso-wrap-distance-left:9pt;margin-left:54.3pt;z-index:3;" o:spid="_x0000_s1027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ind w:left="0" w:leftChars="0" w:firstLine="921" w:firstLineChars="5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①秋田港まで直線距離で片道３０㎞以上９０ｋｍ未満：５千円／ＴＥＵ（上限５０万円）</w:t>
            </w:r>
          </w:p>
          <w:p>
            <w:pPr>
              <w:pStyle w:val="0"/>
              <w:spacing w:line="0" w:lineRule="atLeast"/>
              <w:ind w:left="0" w:leftChars="0" w:firstLine="1289" w:firstLineChars="7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：２万円／ＴＥＵ（上限１００万円）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　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別紙２「陸送費支援奨励金額内訳」及び実績を証明する書類を添付すること。</w:t>
            </w:r>
          </w:p>
        </w:tc>
      </w:tr>
      <w:tr>
        <w:trPr>
          <w:trHeight w:val="13202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4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4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【コンテナ輸送支援（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継続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）・陸送費支援】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１．貨物の種類　（輸出・移出：　　　　　　　　　　輸入・移入：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ind w:right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２．実績取扱量（コンテナ輸出入（移出入）、陸送利用）　　　　　　　　　　（単位：ＴＥＵ）</w:t>
            </w:r>
          </w:p>
          <w:tbl>
            <w:tblPr>
              <w:tblStyle w:val="24"/>
              <w:tblW w:w="8935" w:type="dxa"/>
              <w:jc w:val="left"/>
              <w:tblInd w:w="36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439"/>
              <w:gridCol w:w="2439"/>
              <w:gridCol w:w="2440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9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Ｒ６年度秋田港取扱量</w:t>
                  </w:r>
                </w:p>
              </w:tc>
              <w:tc>
                <w:tcPr>
                  <w:tcW w:w="243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Ｒ６年度陸送取扱量</w:t>
                  </w:r>
                </w:p>
              </w:tc>
              <w:tc>
                <w:tcPr>
                  <w:tcW w:w="24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16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Ｒ７年度秋田港取扱量見込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輸出・移出</w:t>
                  </w:r>
                </w:p>
              </w:tc>
              <w:tc>
                <w:tcPr>
                  <w:tcW w:w="2439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9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4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輸入・移入</w:t>
                  </w:r>
                </w:p>
              </w:tc>
              <w:tc>
                <w:tcPr>
                  <w:tcW w:w="2439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9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40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合　計</w:t>
                  </w:r>
                </w:p>
              </w:tc>
              <w:tc>
                <w:tcPr>
                  <w:tcW w:w="243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３．実績取扱量に対する奨励金の額　（１）＋（２）</w:t>
            </w:r>
            <w:r>
              <w:rPr>
                <w:rFonts w:hint="eastAsia" w:ascii="ＭＳ 明朝" w:hAnsi="ＭＳ 明朝" w:eastAsia="ＭＳ 明朝"/>
                <w:u w:val="thick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428" w:leftChars="200"/>
              <w:rPr>
                <w:rFonts w:hint="default"/>
                <w:b w:val="0"/>
                <w:sz w:val="18"/>
                <w:bdr w:val="none" w:color="auto" w:sz="0" w:space="0"/>
                <w:vertAlign w:val="superscript"/>
              </w:rPr>
            </w:pPr>
            <w:r>
              <w:rPr>
                <w:rFonts w:hint="eastAsia" w:ascii="ＭＳ 明朝" w:hAnsi="ＭＳ 明朝" w:eastAsia="ＭＳ 明朝"/>
              </w:rPr>
              <w:t>（１）コンテナ輸送支援（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継続</w:t>
            </w:r>
            <w:r>
              <w:rPr>
                <w:rFonts w:hint="eastAsia" w:ascii="ＭＳ 明朝" w:hAnsi="ＭＳ 明朝" w:eastAsia="ＭＳ 明朝"/>
              </w:rPr>
              <w:t>）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1071" w:leftChars="500" w:firstLineChars="0"/>
              <w:rPr>
                <w:rFonts w:hint="default"/>
                <w:b w:val="0"/>
                <w:sz w:val="18"/>
                <w:bdr w:val="none" w:color="auto" w:sz="0" w:space="0"/>
                <w:vertAlign w:val="superscrip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39370</wp:posOffset>
                      </wp:positionV>
                      <wp:extent cx="5212715" cy="39878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21271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3.1pt;mso-position-vertical-relative:text;mso-position-horizontal-relative:text;position:absolute;height:31.4pt;mso-wrap-distance-top:0pt;width:410.45pt;mso-wrap-distance-left:5.65pt;margin-left:46.9pt;z-index:7;" o:spid="_x0000_s1028" o:allowincell="t" o:allowoverlap="t" filled="f" stroked="t" strokecolor="#000000 [3200]" strokeweight="1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基本額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（今年度取扱量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)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に基づく奨励金の額＋</w: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加算額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（前年度と比較した増加量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１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×５，０００円）＝○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,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○○○円</w:t>
            </w:r>
          </w:p>
          <w:p>
            <w:pPr>
              <w:pStyle w:val="0"/>
              <w:spacing w:before="140" w:beforeLines="50" w:beforeAutospacing="0" w:line="240" w:lineRule="exact"/>
              <w:ind w:left="1111" w:leftChars="434" w:hanging="182" w:hangingChars="99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【基本額の算定基準】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248285</wp:posOffset>
                      </wp:positionV>
                      <wp:extent cx="5478145" cy="951230"/>
                      <wp:effectExtent l="635" t="635" r="29845" b="10795"/>
                      <wp:wrapNone/>
                      <wp:docPr id="1029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4"/>
                            <wps:cNvSpPr/>
                            <wps:spPr>
                              <a:xfrm>
                                <a:off x="0" y="0"/>
                                <a:ext cx="5478145" cy="95123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19.55pt;mso-position-vertical-relative:text;mso-position-horizontal-relative:text;position:absolute;height:74.900000000000006pt;mso-wrap-distance-top:0pt;width:431.35pt;mso-wrap-distance-left:9pt;margin-left:36.9pt;z-index:6;" o:spid="_x0000_s1029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①５０～１９９ＴＥＵ　　　　　：　上限５０万円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99TEU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以下は次の計算式を適用：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1TEU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千円</w:t>
            </w:r>
            <w:r>
              <w:rPr>
                <w:rFonts w:hint="eastAsia" w:asciiTheme="minorEastAsia" w:hAnsiTheme="minorEastAsia" w:eastAsiaTheme="minorEastAsia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②２００～４９９ＴＥＵ　　　　：　　　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③５００～９９９ＴＥＵ　　　　：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　１２０万円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④１，０００～４，９９９ＴＥＵ：　　２８０万円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⑤５，０００～７，９９９ＴＥＵ：　　５００万円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⑥８，０００ＴＥＵ～　　　　　：１，０００万円</w:t>
            </w:r>
          </w:p>
          <w:p>
            <w:pPr>
              <w:pStyle w:val="23"/>
              <w:ind w:left="0" w:leftChars="0" w:firstLine="1021" w:firstLineChars="500"/>
              <w:rPr>
                <w:rFonts w:hint="eastAsia" w:ascii="ＭＳ 明朝" w:hAnsi="ＭＳ 明朝" w:eastAsia="ＭＳ 明朝"/>
                <w:u w:val="single" w:color="auto"/>
              </w:rPr>
            </w:pPr>
          </w:p>
          <w:p>
            <w:pPr>
              <w:pStyle w:val="23"/>
              <w:ind w:left="0" w:leftChars="0" w:firstLine="1021" w:firstLineChars="5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別紙１「秋田港輸出入実績」及び実績を証明する書類を添付すること。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428" w:firstLine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12065</wp:posOffset>
                      </wp:positionV>
                      <wp:extent cx="1249045" cy="29781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95pt;mso-position-vertical-relative:text;mso-position-horizontal-relative:text;v-text-anchor:middle;position:absolute;height:23.45pt;mso-wrap-distance-top:0pt;width:98.35pt;mso-wrap-distance-left:16pt;margin-left:366.5pt;z-index:4;" o:spid="_x0000_s1030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（２）陸送費支援（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継続</w:t>
            </w:r>
            <w:r>
              <w:rPr>
                <w:rFonts w:hint="eastAsia" w:ascii="ＭＳ 明朝" w:hAnsi="ＭＳ 明朝" w:eastAsia="ＭＳ 明朝"/>
              </w:rPr>
              <w:t>）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829" w:firstLineChars="4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1058" w:firstLineChars="494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76200</wp:posOffset>
                      </wp:positionV>
                      <wp:extent cx="5447030" cy="548640"/>
                      <wp:effectExtent l="635" t="635" r="29845" b="10795"/>
                      <wp:wrapNone/>
                      <wp:docPr id="1031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大かっこ 4"/>
                            <wps:cNvSpPr/>
                            <wps:spPr>
                              <a:xfrm>
                                <a:off x="0" y="0"/>
                                <a:ext cx="5447030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428.9pt;mso-wrap-distance-left:9pt;margin-left:39.65pt;z-index:5;" o:spid="_x0000_s1031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：２万円／ＴＥＵ（上限５０万円）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別紙２「陸送費支援奨励金額内訳」及び実績を証明する書類を添付すること。</w:t>
            </w:r>
          </w:p>
        </w:tc>
      </w:tr>
    </w:tbl>
    <w:p>
      <w:pPr>
        <w:pStyle w:val="0"/>
        <w:widowControl w:val="1"/>
        <w:spacing w:line="120" w:lineRule="exact"/>
        <w:jc w:val="left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ind w:left="224" w:hanging="224" w:hangingChars="100"/>
        <w:jc w:val="left"/>
        <w:rPr>
          <w:rFonts w:hint="default" w:ascii="Century" w:hAnsi="Century" w:eastAsia="ＭＳ 明朝"/>
          <w:kern w:val="0"/>
          <w:sz w:val="22"/>
        </w:rPr>
      </w:pPr>
    </w:p>
    <w:sectPr>
      <w:headerReference r:id="rId5" w:type="default"/>
      <w:pgSz w:w="11906" w:h="16838"/>
      <w:pgMar w:top="289" w:right="1134" w:bottom="295" w:left="1134" w:header="794" w:footer="284" w:gutter="0"/>
      <w:cols w:space="720"/>
      <w:textDirection w:val="lrTb"/>
      <w:docGrid w:type="linesAndChars" w:linePitch="29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 w:ascii="Century" w:hAnsi="Century" w:eastAsia="ＭＳ 明朝"/>
        <w:kern w:val="0"/>
        <w:sz w:val="22"/>
      </w:rPr>
      <w:t>様式第６号（第１２条関係）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2</Pages>
  <Words>0</Words>
  <Characters>1219</Characters>
  <Application>JUST Note</Application>
  <Lines>95</Lines>
  <Paragraphs>52</Paragraphs>
  <CharactersWithSpaces>1475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2024-06-03T03:03:05Z</cp:lastPrinted>
  <dcterms:created xsi:type="dcterms:W3CDTF">2019-06-12T04:42:00Z</dcterms:created>
  <dcterms:modified xsi:type="dcterms:W3CDTF">2024-06-12T01:43:03Z</dcterms:modified>
  <cp:revision>45</cp:revision>
</cp:coreProperties>
</file>